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tabs>
          <w:tab w:leader="none" w:pos="10773" w:val="left"/>
          <w:tab w:leader="none" w:pos="11057" w:val="left"/>
        </w:tabs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</w:p>
    <w:p w14:paraId="08000000">
      <w:pPr>
        <w:pStyle w:val="Style_3"/>
        <w:ind w:firstLine="9720" w:left="0"/>
        <w:rPr>
          <w:rFonts w:ascii="Times New Roman" w:hAnsi="Times New Roman"/>
          <w:sz w:val="28"/>
        </w:rPr>
      </w:pPr>
    </w:p>
    <w:p w14:paraId="09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программе</w:t>
      </w:r>
    </w:p>
    <w:p w14:paraId="0A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B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 округ</w:t>
      </w:r>
    </w:p>
    <w:p w14:paraId="0C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D000000">
      <w:pPr>
        <w:ind w:firstLine="9720" w:left="0"/>
        <w:rPr>
          <w:color w:val="000000"/>
          <w:sz w:val="28"/>
        </w:rPr>
      </w:pPr>
      <w:r>
        <w:rPr>
          <w:sz w:val="28"/>
        </w:rPr>
        <w:t>«</w:t>
      </w:r>
      <w:r>
        <w:rPr>
          <w:color w:val="000000"/>
          <w:sz w:val="28"/>
        </w:rPr>
        <w:t xml:space="preserve">Поддержка </w:t>
      </w:r>
      <w:r>
        <w:rPr>
          <w:color w:val="000000"/>
          <w:sz w:val="28"/>
        </w:rPr>
        <w:t>малого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и среднего </w:t>
      </w:r>
    </w:p>
    <w:p w14:paraId="0E000000">
      <w:pPr>
        <w:ind w:firstLine="9720" w:left="0"/>
        <w:rPr>
          <w:color w:val="000000"/>
          <w:sz w:val="28"/>
        </w:rPr>
      </w:pPr>
      <w:r>
        <w:rPr>
          <w:color w:val="000000"/>
          <w:sz w:val="28"/>
        </w:rPr>
        <w:t>п</w:t>
      </w:r>
      <w:r>
        <w:rPr>
          <w:color w:val="000000"/>
          <w:sz w:val="28"/>
        </w:rPr>
        <w:t>редпринимательства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муниципальном </w:t>
      </w:r>
    </w:p>
    <w:p w14:paraId="0F000000">
      <w:pPr>
        <w:ind w:firstLine="9720" w:left="0"/>
        <w:rPr>
          <w:sz w:val="28"/>
        </w:rPr>
      </w:pPr>
      <w:r>
        <w:rPr>
          <w:color w:val="000000"/>
          <w:sz w:val="28"/>
        </w:rPr>
        <w:t>о</w:t>
      </w:r>
      <w:r>
        <w:rPr>
          <w:color w:val="000000"/>
          <w:sz w:val="28"/>
        </w:rPr>
        <w:t>б</w:t>
      </w:r>
      <w:r>
        <w:rPr>
          <w:color w:val="000000"/>
          <w:sz w:val="28"/>
        </w:rPr>
        <w:t>разовании</w:t>
      </w:r>
      <w:r>
        <w:rPr>
          <w:color w:val="000000"/>
          <w:sz w:val="28"/>
        </w:rPr>
        <w:t xml:space="preserve"> Ленинградский </w:t>
      </w:r>
    </w:p>
    <w:p w14:paraId="10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муниципальный округ Краснодарского </w:t>
      </w:r>
    </w:p>
    <w:p w14:paraId="11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края»</w:t>
      </w:r>
    </w:p>
    <w:p w14:paraId="12000000">
      <w:pPr>
        <w:rPr>
          <w:sz w:val="28"/>
        </w:rPr>
      </w:pPr>
    </w:p>
    <w:p w14:paraId="1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Цели, задачи и целевые показатели муниципальной программы</w:t>
      </w:r>
    </w:p>
    <w:p w14:paraId="1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муниципального образования Ленинградский муниципальный округ Краснодарского края</w:t>
      </w:r>
    </w:p>
    <w:p w14:paraId="15000000">
      <w:pPr>
        <w:ind/>
        <w:jc w:val="center"/>
        <w:rPr>
          <w:b w:val="1"/>
          <w:color w:val="000000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color w:val="000000"/>
          <w:sz w:val="28"/>
        </w:rPr>
        <w:t>«Поддержка малого и среднего предпринимательства в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мун</w:t>
      </w:r>
      <w:r>
        <w:rPr>
          <w:b w:val="1"/>
          <w:color w:val="000000"/>
          <w:sz w:val="28"/>
        </w:rPr>
        <w:t>и</w:t>
      </w:r>
      <w:r>
        <w:rPr>
          <w:b w:val="1"/>
          <w:color w:val="000000"/>
          <w:sz w:val="28"/>
        </w:rPr>
        <w:t>ципальном образовании Ленинградский муниципальный округ Краснодарского края»</w:t>
      </w:r>
    </w:p>
    <w:p w14:paraId="16000000">
      <w:pPr>
        <w:rPr>
          <w:sz w:val="28"/>
        </w:rPr>
      </w:pPr>
    </w:p>
    <w:p w14:paraId="17000000">
      <w:pPr>
        <w:rPr>
          <w:sz w:val="28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7"/>
        <w:gridCol w:w="4396"/>
        <w:gridCol w:w="1701"/>
        <w:gridCol w:w="1134"/>
        <w:gridCol w:w="1418"/>
        <w:gridCol w:w="1565"/>
        <w:gridCol w:w="1825"/>
        <w:gridCol w:w="1825"/>
      </w:tblGrid>
      <w:tr>
        <w:trPr>
          <w:trHeight w:hRule="atLeast" w:val="113"/>
        </w:trPr>
        <w:tc>
          <w:tcPr>
            <w:tcW w:type="dxa" w:w="7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</w:pPr>
            <w:r>
              <w:t>№</w:t>
            </w:r>
          </w:p>
          <w:p w14:paraId="19000000">
            <w:pPr>
              <w:ind/>
              <w:jc w:val="center"/>
            </w:pPr>
            <w:r>
              <w:t>п/</w:t>
            </w:r>
            <w:r>
              <w:t>п</w:t>
            </w:r>
          </w:p>
        </w:tc>
        <w:tc>
          <w:tcPr>
            <w:tcW w:type="dxa" w:w="43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</w:pPr>
            <w:r>
              <w:t>Наименование</w:t>
            </w:r>
          </w:p>
          <w:p w14:paraId="1B000000">
            <w:pPr>
              <w:ind w:firstLine="0" w:left="113" w:right="113"/>
              <w:jc w:val="center"/>
            </w:pPr>
            <w:r>
              <w:t>целевого показателя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</w:pPr>
          </w:p>
          <w:p w14:paraId="1D000000">
            <w:pPr>
              <w:ind/>
              <w:jc w:val="center"/>
            </w:pPr>
            <w:r>
              <w:t xml:space="preserve">Единица </w:t>
            </w:r>
          </w:p>
          <w:p w14:paraId="1E000000">
            <w:pPr>
              <w:ind/>
              <w:jc w:val="center"/>
            </w:pPr>
            <w:r>
              <w:t>изм</w:t>
            </w:r>
            <w:r>
              <w:t>е</w:t>
            </w:r>
            <w:r>
              <w:t>нения</w:t>
            </w:r>
          </w:p>
          <w:p w14:paraId="1F000000">
            <w:pPr>
              <w:ind/>
              <w:jc w:val="center"/>
            </w:pPr>
          </w:p>
          <w:p w14:paraId="20000000">
            <w:pPr>
              <w:ind/>
              <w:jc w:val="center"/>
            </w:pP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/>
          <w:p w14:paraId="22000000">
            <w:r>
              <w:t>Ст</w:t>
            </w:r>
            <w:r>
              <w:t>а</w:t>
            </w:r>
            <w:r>
              <w:t>тус*</w:t>
            </w:r>
          </w:p>
          <w:p w14:paraId="23000000"/>
          <w:p w14:paraId="24000000">
            <w:pPr>
              <w:ind/>
              <w:jc w:val="center"/>
            </w:pPr>
          </w:p>
        </w:tc>
        <w:tc>
          <w:tcPr>
            <w:tcW w:type="dxa" w:w="663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</w:pPr>
          </w:p>
          <w:p w14:paraId="26000000">
            <w:pPr>
              <w:ind/>
              <w:jc w:val="center"/>
            </w:pPr>
            <w:r>
              <w:t>Значение показателей</w:t>
            </w:r>
          </w:p>
          <w:p w14:paraId="27000000">
            <w:pPr>
              <w:ind/>
              <w:jc w:val="center"/>
            </w:pPr>
          </w:p>
          <w:p w14:paraId="28000000">
            <w:pPr>
              <w:ind/>
              <w:jc w:val="center"/>
            </w:pPr>
          </w:p>
        </w:tc>
      </w:tr>
      <w:tr>
        <w:trPr>
          <w:trHeight w:hRule="atLeast" w:val="292"/>
        </w:trPr>
        <w:tc>
          <w:tcPr>
            <w:tcW w:type="dxa" w:w="7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</w:pPr>
            <w:r>
              <w:t>20</w:t>
            </w:r>
            <w:r>
              <w:t>25</w:t>
            </w:r>
            <w:r>
              <w:t xml:space="preserve"> г.           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</w:pPr>
            <w:r>
              <w:t>20</w:t>
            </w:r>
            <w:r>
              <w:t>26</w:t>
            </w:r>
            <w:r>
              <w:t xml:space="preserve"> г.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</w:pPr>
            <w:r>
              <w:t>20</w:t>
            </w:r>
            <w:r>
              <w:t>27</w:t>
            </w:r>
            <w:r>
              <w:t xml:space="preserve"> г.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</w:pPr>
            <w:r>
              <w:t>2028г.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</w:pPr>
            <w:r>
              <w:t>1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</w:pPr>
            <w: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</w:pPr>
            <w: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</w:pPr>
            <w: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center"/>
            </w:pPr>
            <w:r>
              <w:t>5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</w:pPr>
            <w:r>
              <w:t>6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</w:pPr>
            <w:r>
              <w:t>7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</w:pPr>
            <w:r>
              <w:t>8</w:t>
            </w:r>
          </w:p>
        </w:tc>
      </w:tr>
      <w:tr>
        <w:trPr>
          <w:trHeight w:hRule="atLeast" w:val="113"/>
        </w:trPr>
        <w:tc>
          <w:tcPr>
            <w:tcW w:type="dxa" w:w="14571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center"/>
            </w:pPr>
            <w:r>
              <w:t xml:space="preserve">Муниципальная программа </w:t>
            </w:r>
            <w:r>
              <w:t>«Поддержка малого и среднего предпринимательства в муниципальном образовании Ленинградский муниципальный округ Краснодарского края»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/>
              <w:jc w:val="center"/>
            </w:pPr>
            <w:r>
              <w:t>1</w:t>
            </w:r>
          </w:p>
        </w:tc>
        <w:tc>
          <w:tcPr>
            <w:tcW w:type="dxa" w:w="1386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/>
              <w:jc w:val="both"/>
            </w:pPr>
            <w:r>
              <w:t>Целью муниципальной программы является создание условий для развития малого и среднего предпринимательства на территории муниципального образования Ленинградский муниципальный округ Краснодарского края: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ind/>
              <w:jc w:val="center"/>
            </w:pPr>
          </w:p>
        </w:tc>
        <w:tc>
          <w:tcPr>
            <w:tcW w:type="dxa" w:w="1386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ind/>
              <w:jc w:val="both"/>
            </w:pPr>
            <w:r>
              <w:t xml:space="preserve">Задачи: </w:t>
            </w:r>
            <w:r>
              <w:t>Развитие инфраструктуры поддержки предпринимательства в муниципальном образовании Ленинградский муниципальный округ Краснодарского края; Создание благ</w:t>
            </w:r>
            <w:r>
              <w:t>о</w:t>
            </w:r>
            <w:r>
              <w:t>приятной среды для бизнеса; Содействие участию предпринимателей Ленинградского муниципального округа Краснодарского края в региональных программах финанс</w:t>
            </w:r>
            <w:r>
              <w:t>о</w:t>
            </w:r>
            <w:r>
              <w:t>вой поддержки предпринимательства; Совершенствование ресурсного, организационного и информационного обеспечения деятел</w:t>
            </w:r>
            <w:r>
              <w:t>ь</w:t>
            </w:r>
            <w:r>
              <w:t>ности субъектов предпринимательства и создание условий для повышения квалификации кадров малого и среднего бизнеса; Усил</w:t>
            </w:r>
            <w:r>
              <w:t>е</w:t>
            </w:r>
            <w:r>
              <w:t>ние рыночных позиций субъектов малого и среднего предпринимательства на внутрирегиональном, межмуниципальном рынках; П</w:t>
            </w:r>
            <w:r>
              <w:t>о</w:t>
            </w:r>
            <w:r>
              <w:t>вышение объема реализации товаров, работ и услуг, произведенных субъектами малог</w:t>
            </w:r>
            <w:r>
              <w:t>о и среднего предпринимател</w:t>
            </w:r>
            <w:r>
              <w:t>ь</w:t>
            </w:r>
            <w:r>
              <w:t>ства</w:t>
            </w:r>
          </w:p>
          <w:p w14:paraId="3A000000">
            <w:pPr>
              <w:ind/>
              <w:jc w:val="both"/>
            </w:pP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</w:pPr>
            <w:r>
              <w:t>1.1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субъектов малого и средн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предпринимательства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highlight w:val="white"/>
              </w:rPr>
              <w:t>субъектов</w:t>
            </w:r>
            <w:r>
              <w:rPr>
                <w:color w:val="000000"/>
                <w:highlight w:val="white"/>
              </w:rPr>
              <w:t xml:space="preserve"> МСП и физических лиц, применяющих </w:t>
            </w:r>
            <w:r>
              <w:rPr>
                <w:color w:val="000000"/>
              </w:rPr>
              <w:t>специаль</w:t>
            </w:r>
            <w:r>
              <w:rPr>
                <w:color w:val="000000"/>
              </w:rPr>
              <w:t>ный налоговый режим «</w:t>
            </w:r>
            <w:r>
              <w:rPr>
                <w:color w:val="000000"/>
              </w:rPr>
              <w:t>Налог на профессиональный доход</w:t>
            </w:r>
            <w:r>
              <w:rPr>
                <w:color w:val="000000"/>
              </w:rP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center"/>
            </w:pPr>
            <w:r>
              <w:t xml:space="preserve">5500       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/>
              <w:jc w:val="center"/>
            </w:pPr>
            <w:r>
              <w:t>5600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/>
              <w:jc w:val="center"/>
            </w:pPr>
            <w:r>
              <w:t>5700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r>
              <w:t>5750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</w:pPr>
            <w:r>
              <w:t>1.2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/>
              <w:jc w:val="both"/>
              <w:rPr>
                <w:b w:val="1"/>
              </w:rPr>
            </w:pPr>
            <w:r>
              <w:t>Численность занятых в малом и среднем предпринимательстве</w:t>
            </w:r>
            <w:r>
              <w:t xml:space="preserve">, включая </w:t>
            </w:r>
            <w:r>
              <w:t>применяющ</w:t>
            </w:r>
            <w:r>
              <w:t>их специальный налоговый режим «</w:t>
            </w:r>
            <w:r>
              <w:t>Налог на профессиональный доход</w:t>
            </w:r>
            <w: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</w:pPr>
            <w:r>
              <w:t>8000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</w:pPr>
            <w:r>
              <w:t>8200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</w:pPr>
            <w:r>
              <w:t>8300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r>
              <w:t>8400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center"/>
            </w:pPr>
            <w:r>
              <w:t>1.3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both"/>
              <w:rPr>
                <w:b w:val="1"/>
              </w:rPr>
            </w:pPr>
            <w:r>
              <w:t xml:space="preserve">Количество </w:t>
            </w:r>
            <w:r>
              <w:t>субъектов малого и среднего предпринимательства,</w:t>
            </w:r>
            <w:r>
              <w:t xml:space="preserve"> получател</w:t>
            </w:r>
            <w:r>
              <w:t>ей</w:t>
            </w:r>
            <w:r>
              <w:t xml:space="preserve"> поддержки,</w:t>
            </w:r>
            <w:r>
              <w:t xml:space="preserve"> включая</w:t>
            </w:r>
            <w:r>
              <w:rPr>
                <w:rFonts w:ascii="Arial" w:hAnsi="Arial"/>
                <w:b w:val="1"/>
                <w:color w:val="000000"/>
                <w:sz w:val="30"/>
              </w:rPr>
              <w:t xml:space="preserve"> </w:t>
            </w:r>
            <w:r>
              <w:t>применяющ</w:t>
            </w:r>
            <w:r>
              <w:t>их специальный налоговый режим «Налог на профессиональный доход»</w:t>
            </w:r>
            <w:r>
              <w:t xml:space="preserve">, </w:t>
            </w:r>
            <w:r>
              <w:rPr>
                <w:color w:val="000000"/>
              </w:rPr>
              <w:t>получивших консультационную поддержку</w:t>
            </w:r>
            <w:r>
              <w:t xml:space="preserve"> в области предпринимательства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center"/>
            </w:pPr>
            <w:r>
              <w:t>300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center"/>
            </w:pPr>
            <w:r>
              <w:t>350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</w:pPr>
            <w:r>
              <w:t>400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r>
              <w:t>450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</w:pPr>
            <w:r>
              <w:t>1.</w:t>
            </w:r>
            <w:r>
              <w:t>4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both"/>
            </w:pPr>
            <w:r>
              <w:t>Количество проведенных мероприятий</w:t>
            </w:r>
            <w:r>
              <w:t xml:space="preserve"> (совещания, семинары, «круглые» ст</w:t>
            </w:r>
            <w:r>
              <w:t>о</w:t>
            </w:r>
            <w:r>
              <w:t>лы, выставки-ярмарки и др.)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</w:pPr>
            <w:r>
              <w:t>40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</w:pPr>
            <w:r>
              <w:t>50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center"/>
            </w:pPr>
            <w:r>
              <w:t>60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r>
              <w:t>65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center"/>
            </w:pPr>
            <w:r>
              <w:t>1.</w:t>
            </w:r>
            <w:r>
              <w:t>5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both"/>
            </w:pPr>
            <w:r>
              <w:t>Количество субъектов малого и средн</w:t>
            </w:r>
            <w:r>
              <w:t>е</w:t>
            </w:r>
            <w:r>
              <w:t>го предпринимательства</w:t>
            </w:r>
            <w:r>
              <w:t>, получател</w:t>
            </w:r>
            <w:r>
              <w:t>ей</w:t>
            </w:r>
            <w:r>
              <w:t xml:space="preserve"> поддержки</w:t>
            </w:r>
            <w:r>
              <w:t xml:space="preserve"> и работник</w:t>
            </w:r>
            <w:r>
              <w:t>ов</w:t>
            </w:r>
            <w:r>
              <w:t xml:space="preserve"> субъектов малого и среднего предпр</w:t>
            </w:r>
            <w:r>
              <w:t>и</w:t>
            </w:r>
            <w:r>
              <w:t>нимательства, принявших участие в м</w:t>
            </w:r>
            <w:r>
              <w:t>е</w:t>
            </w:r>
            <w:r>
              <w:t>роприятиях</w:t>
            </w:r>
            <w:r>
              <w:t xml:space="preserve">, включая </w:t>
            </w:r>
            <w:r>
              <w:t>применяющ</w:t>
            </w:r>
            <w:r>
              <w:t>их специальный налоговый режим «</w:t>
            </w:r>
            <w:r>
              <w:t>Налог на профессиональный доход</w:t>
            </w:r>
            <w:r>
              <w:t>», а также социальных предпринимателей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ind/>
              <w:jc w:val="center"/>
            </w:pPr>
            <w:r>
              <w:t>чел.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center"/>
            </w:pPr>
            <w:r>
              <w:t>1160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/>
              <w:jc w:val="center"/>
            </w:pPr>
            <w:r>
              <w:t>1170</w:t>
            </w:r>
          </w:p>
          <w:p w14:paraId="61000000">
            <w:pPr>
              <w:ind/>
              <w:jc w:val="center"/>
            </w:pP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ind/>
              <w:jc w:val="center"/>
            </w:pPr>
            <w:r>
              <w:t>1200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r>
              <w:t>1270</w:t>
            </w:r>
          </w:p>
        </w:tc>
      </w:tr>
    </w:tbl>
    <w:p w14:paraId="64000000">
      <w:pPr>
        <w:rPr>
          <w:sz w:val="28"/>
        </w:rPr>
      </w:pPr>
    </w:p>
    <w:p w14:paraId="65000000">
      <w:pPr>
        <w:rPr>
          <w:sz w:val="28"/>
        </w:rPr>
      </w:pPr>
    </w:p>
    <w:p w14:paraId="66000000">
      <w:pPr>
        <w:rPr>
          <w:sz w:val="28"/>
        </w:rPr>
      </w:pPr>
      <w:r>
        <w:rPr>
          <w:sz w:val="28"/>
        </w:rPr>
        <w:t>Исполняющий обязанности н</w:t>
      </w:r>
      <w:r>
        <w:rPr>
          <w:sz w:val="28"/>
        </w:rPr>
        <w:t>ачальник</w:t>
      </w:r>
      <w:r>
        <w:rPr>
          <w:sz w:val="28"/>
        </w:rPr>
        <w:t>а</w:t>
      </w:r>
    </w:p>
    <w:p w14:paraId="67000000">
      <w:pPr>
        <w:rPr>
          <w:sz w:val="28"/>
        </w:rPr>
      </w:pPr>
      <w:r>
        <w:rPr>
          <w:sz w:val="28"/>
        </w:rPr>
        <w:t>отдела</w:t>
      </w:r>
      <w:r>
        <w:rPr>
          <w:sz w:val="28"/>
        </w:rPr>
        <w:t xml:space="preserve"> </w:t>
      </w:r>
      <w:r>
        <w:rPr>
          <w:sz w:val="28"/>
        </w:rPr>
        <w:t>экономики</w:t>
      </w:r>
      <w:r>
        <w:rPr>
          <w:sz w:val="28"/>
        </w:rPr>
        <w:t xml:space="preserve"> администрации</w:t>
      </w:r>
      <w:r>
        <w:rPr>
          <w:sz w:val="28"/>
        </w:rPr>
        <w:t xml:space="preserve"> </w:t>
      </w:r>
    </w:p>
    <w:p w14:paraId="68000000">
      <w:pPr>
        <w:rPr>
          <w:sz w:val="28"/>
        </w:rPr>
      </w:pPr>
      <w:r>
        <w:rPr>
          <w:sz w:val="28"/>
        </w:rPr>
        <w:t xml:space="preserve">Ленинградского муниципального округа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   Д.В. Андрющенко</w:t>
      </w:r>
    </w:p>
    <w:sectPr>
      <w:headerReference r:id="rId2" w:type="default"/>
      <w:headerReference r:id="rId1" w:type="first"/>
      <w:headerReference r:id="rId3" w:type="even"/>
      <w:pgSz w:h="11906" w:orient="landscape" w:w="16838"/>
      <w:pgMar w:bottom="567" w:footer="709" w:gutter="0" w:header="709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footer"/>
    <w:basedOn w:val="Style_5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5_ch"/>
    <w:link w:val="Style_9"/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Normal (Web)"/>
    <w:basedOn w:val="Style_5"/>
    <w:link w:val="Style_13_ch"/>
  </w:style>
  <w:style w:styleId="Style_13_ch" w:type="character">
    <w:name w:val="Normal (Web)"/>
    <w:basedOn w:val="Style_5_ch"/>
    <w:link w:val="Style_13"/>
  </w:style>
  <w:style w:styleId="Style_14" w:type="paragraph">
    <w:name w:val="annotation text"/>
    <w:basedOn w:val="Style_5"/>
    <w:link w:val="Style_14_ch"/>
    <w:rPr>
      <w:sz w:val="20"/>
    </w:rPr>
  </w:style>
  <w:style w:styleId="Style_14_ch" w:type="character">
    <w:name w:val="annotation text"/>
    <w:basedOn w:val="Style_5_ch"/>
    <w:link w:val="Style_14"/>
    <w:rPr>
      <w:sz w:val="20"/>
    </w:rPr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annotation subject"/>
    <w:basedOn w:val="Style_14"/>
    <w:next w:val="Style_14"/>
    <w:link w:val="Style_16_ch"/>
    <w:rPr>
      <w:b w:val="1"/>
    </w:rPr>
  </w:style>
  <w:style w:styleId="Style_16_ch" w:type="character">
    <w:name w:val="annotation subject"/>
    <w:basedOn w:val="Style_14_ch"/>
    <w:link w:val="Style_16"/>
    <w:rPr>
      <w:b w:val="1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2" w:type="paragraph">
    <w:name w:val="page number"/>
    <w:basedOn w:val="Style_18"/>
    <w:link w:val="Style_2_ch"/>
  </w:style>
  <w:style w:styleId="Style_2_ch" w:type="character">
    <w:name w:val="page number"/>
    <w:basedOn w:val="Style_18_ch"/>
    <w:link w:val="Style_2"/>
  </w:style>
  <w:style w:styleId="Style_19" w:type="paragraph">
    <w:name w:val="heading 1"/>
    <w:next w:val="Style_5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Balloon Text"/>
    <w:basedOn w:val="Style_5"/>
    <w:link w:val="Style_20_ch"/>
    <w:rPr>
      <w:rFonts w:ascii="Tahoma" w:hAnsi="Tahoma"/>
      <w:sz w:val="16"/>
    </w:rPr>
  </w:style>
  <w:style w:styleId="Style_20_ch" w:type="character">
    <w:name w:val="Balloon Text"/>
    <w:basedOn w:val="Style_5_ch"/>
    <w:link w:val="Style_20"/>
    <w:rPr>
      <w:rFonts w:ascii="Tahoma" w:hAnsi="Tahoma"/>
      <w:sz w:val="16"/>
    </w:rPr>
  </w:style>
  <w:style w:styleId="Style_21" w:type="paragraph">
    <w:name w:val="Hyperlink"/>
    <w:link w:val="Style_21_ch"/>
    <w:rPr>
      <w:rFonts w:ascii="Times" w:hAnsi="Times"/>
      <w:color w:val="006633"/>
      <w:sz w:val="24"/>
      <w:u w:val="single"/>
    </w:rPr>
  </w:style>
  <w:style w:styleId="Style_21_ch" w:type="character">
    <w:name w:val="Hyperlink"/>
    <w:link w:val="Style_21"/>
    <w:rPr>
      <w:rFonts w:ascii="Times" w:hAnsi="Times"/>
      <w:color w:val="006633"/>
      <w:sz w:val="24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annotation reference"/>
    <w:link w:val="Style_23_ch"/>
    <w:rPr>
      <w:sz w:val="16"/>
    </w:rPr>
  </w:style>
  <w:style w:styleId="Style_23_ch" w:type="character">
    <w:name w:val="annotation reference"/>
    <w:link w:val="Style_23"/>
    <w:rPr>
      <w:sz w:val="16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3" w:type="paragraph">
    <w:name w:val="ConsPlusCell"/>
    <w:link w:val="Style_3_ch"/>
    <w:pPr>
      <w:widowControl w:val="0"/>
      <w:ind/>
    </w:pPr>
    <w:rPr>
      <w:rFonts w:ascii="Arial" w:hAnsi="Arial"/>
    </w:rPr>
  </w:style>
  <w:style w:styleId="Style_3_ch" w:type="character">
    <w:name w:val="ConsPlusCell"/>
    <w:link w:val="Style_3"/>
    <w:rPr>
      <w:rFonts w:ascii="Arial" w:hAnsi="Arial"/>
    </w:rPr>
  </w:style>
  <w:style w:styleId="Style_26" w:type="paragraph">
    <w:name w:val="toc 9"/>
    <w:next w:val="Style_5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Default"/>
    <w:link w:val="Style_28_ch"/>
    <w:rPr>
      <w:color w:val="000000"/>
      <w:sz w:val="24"/>
    </w:rPr>
  </w:style>
  <w:style w:styleId="Style_28_ch" w:type="character">
    <w:name w:val="Default"/>
    <w:link w:val="Style_28"/>
    <w:rPr>
      <w:color w:val="000000"/>
      <w:sz w:val="24"/>
    </w:rPr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5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2025-11-13T06:08:18Z</dcterms:modified>
</cp:coreProperties>
</file>